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65"/>
        <w:gridCol w:w="2115"/>
        <w:gridCol w:w="780"/>
        <w:gridCol w:w="91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泉州建工集团2023年常态化公开招聘项目制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周期性用工（部分岗位）人员成绩公示（二十一）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（泉州建工集团有限公司2023年9月1日）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350521****0030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350521****4538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350302****1658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350723****0615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350521****8010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350521****3019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350430****2018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350521****0518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350124****6493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350521****5054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350521****6074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350521****5012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350521****5514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350525****3015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350524****1517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350421****7018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350521****7051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350521****2551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350125****4436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350824****4179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350502****0515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350521****1013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350321****7353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350521****5250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350583****221X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511162****0335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弃考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33071B92"/>
    <w:rsid w:val="330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3">
    <w:name w:val="Body Text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2023-09-05T02:59:00Z</dcterms:created>
  <dc:creator>半夏染</dc:creator>
  <cp:lastModifiedBy>半夏染</cp:lastModifiedBy>
  <dcterms:modified xsi:type="dcterms:W3CDTF">2023-09-05T03:00:30Z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576D4A3C68FF4FA483D1769E056EEBDB_11</vt:lpwstr>
  </property>
</Properties>
</file>